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香河县</w:t>
      </w:r>
      <w:r>
        <w:rPr>
          <w:rFonts w:hint="eastAsia" w:ascii="Times New Roman" w:hAnsi="Times New Roman" w:eastAsia="方正小标宋简体" w:cs="Times New Roman"/>
          <w:color w:val="auto"/>
          <w:sz w:val="44"/>
          <w:szCs w:val="44"/>
          <w:highlight w:val="none"/>
          <w:lang w:eastAsia="zh-CN"/>
        </w:rPr>
        <w:t>殡仪馆</w:t>
      </w:r>
      <w:r>
        <w:rPr>
          <w:rFonts w:ascii="Times New Roman" w:hAnsi="Times New Roman" w:eastAsia="方正小标宋简体" w:cs="Times New Roman"/>
          <w:color w:val="auto"/>
          <w:sz w:val="44"/>
          <w:szCs w:val="44"/>
          <w:highlight w:val="none"/>
        </w:rPr>
        <w:t>20</w:t>
      </w:r>
      <w:r>
        <w:rPr>
          <w:rFonts w:hint="eastAsia" w:ascii="Times New Roman" w:hAnsi="Times New Roman" w:eastAsia="方正小标宋简体" w:cs="Times New Roman"/>
          <w:color w:val="auto"/>
          <w:sz w:val="44"/>
          <w:szCs w:val="44"/>
          <w:highlight w:val="none"/>
        </w:rPr>
        <w:t>21</w:t>
      </w:r>
      <w:r>
        <w:rPr>
          <w:rFonts w:ascii="Times New Roman" w:hAnsi="Times New Roman" w:eastAsia="方正小标宋简体" w:cs="Times New Roman"/>
          <w:color w:val="auto"/>
          <w:sz w:val="44"/>
          <w:szCs w:val="44"/>
          <w:highlight w:val="none"/>
        </w:rPr>
        <w:t>年</w:t>
      </w:r>
      <w:r>
        <w:rPr>
          <w:rFonts w:hint="eastAsia" w:ascii="Times New Roman" w:hAnsi="Times New Roman" w:eastAsia="方正小标宋简体" w:cs="Times New Roman"/>
          <w:color w:val="auto"/>
          <w:sz w:val="44"/>
          <w:szCs w:val="44"/>
          <w:highlight w:val="none"/>
        </w:rPr>
        <w:t>单位</w:t>
      </w:r>
      <w:r>
        <w:rPr>
          <w:rFonts w:ascii="Times New Roman" w:hAnsi="Times New Roman" w:eastAsia="方正小标宋简体" w:cs="Times New Roman"/>
          <w:color w:val="auto"/>
          <w:sz w:val="44"/>
          <w:szCs w:val="44"/>
          <w:highlight w:val="none"/>
        </w:rPr>
        <w:t>预算信息公开</w:t>
      </w:r>
      <w:r>
        <w:rPr>
          <w:rFonts w:hint="eastAsia" w:ascii="Times New Roman" w:hAnsi="Times New Roman" w:eastAsia="方正小标宋简体" w:cs="Times New Roman"/>
          <w:color w:val="auto"/>
          <w:sz w:val="44"/>
          <w:szCs w:val="44"/>
          <w:highlight w:val="none"/>
        </w:rPr>
        <w:t>情况说明</w:t>
      </w:r>
    </w:p>
    <w:p>
      <w:pPr>
        <w:spacing w:line="584" w:lineRule="exact"/>
        <w:ind w:firstLine="880" w:firstLineChars="200"/>
        <w:jc w:val="center"/>
        <w:rPr>
          <w:rFonts w:ascii="Times New Roman" w:hAnsi="Times New Roman" w:eastAsia="仿宋_GB2312" w:cs="Times New Roman"/>
          <w:color w:val="auto"/>
          <w:sz w:val="44"/>
          <w:szCs w:val="44"/>
          <w:highlight w:val="none"/>
        </w:rPr>
      </w:pP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color w:val="auto"/>
          <w:sz w:val="32"/>
          <w:szCs w:val="32"/>
          <w:highlight w:val="none"/>
          <w:lang w:eastAsia="zh-CN"/>
        </w:rPr>
        <w:t>殡仪馆</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年单位预算公开如下：</w:t>
      </w:r>
    </w:p>
    <w:p>
      <w:pPr>
        <w:spacing w:line="584"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一、单位职责及机构设置情况</w:t>
      </w:r>
    </w:p>
    <w:p>
      <w:pPr>
        <w:spacing w:line="584" w:lineRule="exact"/>
        <w:ind w:firstLine="643" w:firstLineChars="200"/>
        <w:rPr>
          <w:rFonts w:ascii="Times New Roman" w:hAnsi="Times New Roman" w:eastAsia="楷体_GB2312" w:cs="Times New Roman"/>
          <w:b/>
          <w:color w:val="auto"/>
          <w:sz w:val="32"/>
          <w:szCs w:val="32"/>
          <w:highlight w:val="none"/>
        </w:rPr>
      </w:pPr>
      <w:r>
        <w:rPr>
          <w:rFonts w:ascii="Times New Roman" w:hAnsi="Times New Roman" w:eastAsia="楷体_GB2312" w:cs="Times New Roman"/>
          <w:b/>
          <w:color w:val="auto"/>
          <w:sz w:val="32"/>
          <w:szCs w:val="32"/>
          <w:highlight w:val="none"/>
        </w:rPr>
        <w:t>单位职责：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hAnsi="宋体"/>
          <w:color w:val="auto"/>
          <w:sz w:val="28"/>
          <w:highlight w:val="none"/>
        </w:rPr>
      </w:pPr>
      <w:r>
        <w:rPr>
          <w:rFonts w:hint="eastAsia" w:eastAsia="方正仿宋_GBK"/>
          <w:color w:val="auto"/>
          <w:sz w:val="28"/>
          <w:highlight w:val="none"/>
        </w:rPr>
        <w:t xml:space="preserve">根据《县民政局职能配置、内设机构和人员编制规定》， </w:t>
      </w:r>
      <w:r>
        <w:rPr>
          <w:rFonts w:hint="eastAsia" w:eastAsia="方正仿宋_GBK"/>
          <w:color w:val="auto"/>
          <w:sz w:val="28"/>
          <w:highlight w:val="none"/>
          <w:lang w:val="en-US" w:eastAsia="zh-CN"/>
        </w:rPr>
        <w:t>殡仪馆</w:t>
      </w:r>
      <w:r>
        <w:rPr>
          <w:rFonts w:hint="eastAsia" w:eastAsia="方正仿宋_GBK"/>
          <w:color w:val="auto"/>
          <w:sz w:val="28"/>
          <w:highlight w:val="none"/>
        </w:rPr>
        <w:t>的主要职责是：</w:t>
      </w:r>
    </w:p>
    <w:p>
      <w:pPr>
        <w:keepNext w:val="0"/>
        <w:keepLines w:val="0"/>
        <w:pageBreakBefore w:val="0"/>
        <w:widowControl w:val="0"/>
        <w:kinsoku/>
        <w:wordWrap/>
        <w:overflowPunct/>
        <w:topLinePunct w:val="0"/>
        <w:autoSpaceDE/>
        <w:autoSpaceDN/>
        <w:bidi w:val="0"/>
        <w:adjustRightInd/>
        <w:snapToGrid/>
        <w:spacing w:line="584" w:lineRule="exact"/>
        <w:ind w:firstLine="560" w:firstLineChars="200"/>
        <w:textAlignment w:val="auto"/>
        <w:rPr>
          <w:rFonts w:hint="eastAsia" w:ascii="Times New Roman" w:hAnsi="Times New Roman" w:eastAsia="仿宋_GB2312" w:cs="Times New Roman"/>
          <w:color w:val="auto"/>
          <w:sz w:val="32"/>
          <w:szCs w:val="32"/>
          <w:highlight w:val="none"/>
          <w:lang w:eastAsia="zh-CN"/>
        </w:rPr>
      </w:pPr>
      <w:r>
        <w:rPr>
          <w:rFonts w:eastAsia="方正仿宋_GBK"/>
          <w:color w:val="auto"/>
          <w:sz w:val="28"/>
          <w:highlight w:val="none"/>
        </w:rPr>
        <w:t>在今后的工作中，我</w:t>
      </w:r>
      <w:r>
        <w:rPr>
          <w:rFonts w:hint="eastAsia" w:eastAsia="方正仿宋_GBK"/>
          <w:color w:val="auto"/>
          <w:sz w:val="28"/>
          <w:highlight w:val="none"/>
          <w:lang w:val="en-US" w:eastAsia="zh-CN"/>
        </w:rPr>
        <w:t>单位</w:t>
      </w:r>
      <w:r>
        <w:rPr>
          <w:rFonts w:eastAsia="方正仿宋_GBK"/>
          <w:color w:val="auto"/>
          <w:sz w:val="28"/>
          <w:highlight w:val="none"/>
        </w:rPr>
        <w:t>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w:t>
      </w:r>
      <w:r>
        <w:rPr>
          <w:rFonts w:hint="eastAsia" w:eastAsia="方正仿宋_GBK"/>
          <w:color w:val="auto"/>
          <w:sz w:val="28"/>
          <w:highlight w:val="none"/>
          <w:lang w:eastAsia="zh-CN"/>
        </w:rPr>
        <w:t>切实</w:t>
      </w:r>
      <w:r>
        <w:rPr>
          <w:rFonts w:eastAsia="方正仿宋_GBK"/>
          <w:color w:val="auto"/>
          <w:sz w:val="28"/>
          <w:highlight w:val="none"/>
        </w:rPr>
        <w:t>做好</w:t>
      </w:r>
      <w:r>
        <w:rPr>
          <w:rFonts w:hint="eastAsia" w:eastAsia="方正仿宋_GBK"/>
          <w:color w:val="auto"/>
          <w:sz w:val="28"/>
          <w:highlight w:val="none"/>
          <w:lang w:eastAsia="zh-CN"/>
        </w:rPr>
        <w:t>殡葬服务</w:t>
      </w:r>
      <w:r>
        <w:rPr>
          <w:rFonts w:eastAsia="方正仿宋_GBK"/>
          <w:color w:val="auto"/>
          <w:sz w:val="28"/>
          <w:highlight w:val="none"/>
        </w:rPr>
        <w:t>工作。殡葬设施和设备现代、节能、节地、环保，惠民殡葬政策普及全县特殊困难群体，群众办理丧事文明节俭。殡葬设施和设备现代、节能、节地、环保，能够满足群众需求，改善生态环境；生态安葬形式逐步提高；全省使用统一规范的火化证和骨灰安放证。</w:t>
      </w:r>
    </w:p>
    <w:p>
      <w:pPr>
        <w:autoSpaceDE w:val="0"/>
        <w:autoSpaceDN w:val="0"/>
        <w:adjustRightInd w:val="0"/>
        <w:spacing w:line="584" w:lineRule="exact"/>
        <w:ind w:firstLine="630" w:firstLineChars="196"/>
        <w:jc w:val="left"/>
        <w:rPr>
          <w:rFonts w:ascii="Times New Roman" w:hAnsi="Times New Roman" w:eastAsia="楷体_GB2312" w:cs="Times New Roman"/>
          <w:b/>
          <w:color w:val="auto"/>
          <w:sz w:val="32"/>
          <w:szCs w:val="32"/>
          <w:highlight w:val="none"/>
        </w:rPr>
      </w:pPr>
    </w:p>
    <w:p>
      <w:pPr>
        <w:autoSpaceDE w:val="0"/>
        <w:autoSpaceDN w:val="0"/>
        <w:adjustRightInd w:val="0"/>
        <w:spacing w:line="584" w:lineRule="exact"/>
        <w:ind w:firstLine="630" w:firstLineChars="196"/>
        <w:jc w:val="left"/>
        <w:rPr>
          <w:rFonts w:ascii="Times New Roman" w:hAnsi="Times New Roman" w:eastAsia="楷体_GB2312" w:cs="Times New Roman"/>
          <w:b/>
          <w:color w:val="auto"/>
          <w:sz w:val="32"/>
          <w:szCs w:val="32"/>
          <w:highlight w:val="none"/>
        </w:rPr>
      </w:pPr>
      <w:r>
        <w:rPr>
          <w:rFonts w:ascii="Times New Roman" w:hAnsi="Times New Roman" w:eastAsia="楷体_GB2312" w:cs="Times New Roman"/>
          <w:b/>
          <w:color w:val="auto"/>
          <w:sz w:val="32"/>
          <w:szCs w:val="32"/>
          <w:highlight w:val="none"/>
        </w:rPr>
        <w:t>机构设置：</w:t>
      </w:r>
    </w:p>
    <w:p>
      <w:pPr>
        <w:spacing w:line="584" w:lineRule="exact"/>
        <w:jc w:val="center"/>
        <w:outlineLvl w:val="0"/>
        <w:rPr>
          <w:rFonts w:ascii="Times New Roman" w:hAnsi="Times New Roman" w:eastAsia="仿宋_GB2312" w:cs="Times New Roman"/>
          <w:b/>
          <w:color w:val="auto"/>
          <w:sz w:val="32"/>
          <w:szCs w:val="24"/>
          <w:highlight w:val="none"/>
        </w:rPr>
      </w:pPr>
      <w:r>
        <w:rPr>
          <w:rFonts w:ascii="Times New Roman" w:hAnsi="Times New Roman" w:eastAsia="仿宋_GB2312" w:cs="Times New Roman"/>
          <w:b/>
          <w:color w:val="auto"/>
          <w:sz w:val="32"/>
          <w:szCs w:val="24"/>
          <w:highlight w:val="none"/>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auto"/>
                <w:highlight w:val="none"/>
              </w:rPr>
            </w:pPr>
          </w:p>
        </w:tc>
        <w:tc>
          <w:tcPr>
            <w:tcW w:w="1134" w:type="dxa"/>
            <w:vMerge w:val="continue"/>
            <w:shd w:val="clear" w:color="auto" w:fill="auto"/>
            <w:vAlign w:val="center"/>
          </w:tcPr>
          <w:p>
            <w:pPr>
              <w:rPr>
                <w:color w:val="auto"/>
                <w:highlight w:val="none"/>
              </w:rPr>
            </w:pPr>
          </w:p>
        </w:tc>
        <w:tc>
          <w:tcPr>
            <w:tcW w:w="1276" w:type="dxa"/>
            <w:vMerge w:val="continue"/>
            <w:shd w:val="clear" w:color="auto" w:fill="auto"/>
            <w:vAlign w:val="center"/>
          </w:tcPr>
          <w:p>
            <w:pPr>
              <w:rPr>
                <w:color w:val="auto"/>
                <w:highlight w:val="none"/>
              </w:rPr>
            </w:pPr>
          </w:p>
        </w:tc>
        <w:tc>
          <w:tcPr>
            <w:tcW w:w="2902" w:type="dxa"/>
            <w:vMerge w:val="continue"/>
            <w:shd w:val="clear" w:color="auto" w:fill="auto"/>
            <w:vAlign w:val="center"/>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color w:val="auto"/>
                <w:highlight w:val="none"/>
                <w:lang w:eastAsia="zh-CN"/>
              </w:rPr>
            </w:pPr>
            <w:r>
              <w:rPr>
                <w:rFonts w:hint="eastAsia" w:ascii="Times New Roman" w:hAnsi="Times New Roman" w:eastAsia="仿宋_GB2312" w:cs="Times New Roman"/>
                <w:b/>
                <w:color w:val="auto"/>
                <w:highlight w:val="none"/>
                <w:lang w:eastAsia="zh-CN"/>
              </w:rPr>
              <w:t>香河县殡仪馆</w:t>
            </w:r>
          </w:p>
        </w:tc>
        <w:tc>
          <w:tcPr>
            <w:tcW w:w="1134" w:type="dxa"/>
            <w:shd w:val="clear" w:color="auto" w:fill="auto"/>
            <w:vAlign w:val="center"/>
          </w:tcPr>
          <w:p>
            <w:pPr>
              <w:spacing w:line="584" w:lineRule="exact"/>
              <w:jc w:val="center"/>
              <w:rPr>
                <w:rFonts w:hint="eastAsia" w:ascii="Times New Roman" w:hAnsi="Times New Roman" w:eastAsia="仿宋_GB2312" w:cs="Times New Roman"/>
                <w:b/>
                <w:color w:val="auto"/>
                <w:highlight w:val="none"/>
                <w:lang w:eastAsia="zh-CN"/>
              </w:rPr>
            </w:pPr>
            <w:r>
              <w:rPr>
                <w:rFonts w:hint="eastAsia" w:ascii="Times New Roman" w:hAnsi="Times New Roman" w:eastAsia="仿宋_GB2312" w:cs="Times New Roman"/>
                <w:b/>
                <w:color w:val="auto"/>
                <w:highlight w:val="none"/>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color w:val="auto"/>
                <w:highlight w:val="none"/>
                <w:lang w:eastAsia="zh-CN"/>
              </w:rPr>
            </w:pPr>
            <w:r>
              <w:rPr>
                <w:rFonts w:hint="eastAsia" w:ascii="Times New Roman" w:hAnsi="Times New Roman" w:eastAsia="仿宋_GB2312" w:cs="Times New Roman"/>
                <w:b/>
                <w:color w:val="auto"/>
                <w:highlight w:val="none"/>
                <w:lang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color w:val="auto"/>
                <w:highlight w:val="none"/>
                <w:lang w:eastAsia="zh-CN"/>
              </w:rPr>
            </w:pPr>
            <w:r>
              <w:rPr>
                <w:rFonts w:hint="eastAsia" w:ascii="Times New Roman" w:hAnsi="Times New Roman" w:eastAsia="仿宋_GB2312" w:cs="Times New Roman"/>
                <w:b/>
                <w:color w:val="auto"/>
                <w:highlight w:val="none"/>
                <w:lang w:eastAsia="zh-CN"/>
              </w:rPr>
              <w:t>财政性资金零补助</w:t>
            </w:r>
          </w:p>
        </w:tc>
      </w:tr>
    </w:tbl>
    <w:p>
      <w:pPr>
        <w:spacing w:line="584"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二、单位预算安排的总体情况</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按照预算管理有关规定，目前我</w:t>
      </w:r>
      <w:r>
        <w:rPr>
          <w:rFonts w:hint="eastAsia" w:ascii="Times New Roman" w:hAnsi="Times New Roman" w:eastAsia="仿宋_GB2312" w:cs="Times New Roman"/>
          <w:color w:val="auto"/>
          <w:sz w:val="32"/>
          <w:szCs w:val="32"/>
          <w:highlight w:val="none"/>
        </w:rPr>
        <w:t>县</w:t>
      </w:r>
      <w:r>
        <w:rPr>
          <w:rFonts w:ascii="Times New Roman" w:hAnsi="Times New Roman" w:eastAsia="仿宋_GB2312" w:cs="Times New Roman"/>
          <w:color w:val="auto"/>
          <w:sz w:val="32"/>
          <w:szCs w:val="32"/>
          <w:highlight w:val="none"/>
        </w:rPr>
        <w:t>单位预算的编制实行综合预算制度，即全部收入和支出都反映在预算中。香河县</w:t>
      </w:r>
      <w:r>
        <w:rPr>
          <w:rFonts w:hint="eastAsia" w:ascii="Times New Roman" w:hAnsi="Times New Roman" w:eastAsia="仿宋_GB2312" w:cs="Times New Roman"/>
          <w:color w:val="auto"/>
          <w:sz w:val="32"/>
          <w:szCs w:val="32"/>
          <w:highlight w:val="none"/>
          <w:lang w:eastAsia="zh-CN"/>
        </w:rPr>
        <w:t>殡仪馆</w:t>
      </w:r>
      <w:r>
        <w:rPr>
          <w:rFonts w:ascii="Times New Roman" w:hAnsi="Times New Roman" w:eastAsia="仿宋_GB2312" w:cs="Times New Roman"/>
          <w:color w:val="auto"/>
          <w:sz w:val="32"/>
          <w:szCs w:val="32"/>
          <w:highlight w:val="none"/>
        </w:rPr>
        <w:t>的收支包含在单位预算中。</w:t>
      </w:r>
    </w:p>
    <w:p>
      <w:pPr>
        <w:spacing w:line="584" w:lineRule="exact"/>
        <w:ind w:firstLine="64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1、收入说明</w:t>
      </w:r>
    </w:p>
    <w:p>
      <w:pPr>
        <w:spacing w:line="584" w:lineRule="exact"/>
        <w:ind w:firstLine="64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反映本单位当年全部收入。20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年预算收入</w:t>
      </w:r>
      <w:r>
        <w:rPr>
          <w:rFonts w:hint="eastAsia" w:ascii="Times New Roman" w:hAnsi="Times New Roman" w:eastAsia="仿宋_GB2312" w:cs="Times New Roman"/>
          <w:color w:val="auto"/>
          <w:sz w:val="32"/>
          <w:szCs w:val="32"/>
          <w:highlight w:val="none"/>
          <w:lang w:val="en-US" w:eastAsia="zh-CN"/>
        </w:rPr>
        <w:t>1241.37</w:t>
      </w:r>
      <w:r>
        <w:rPr>
          <w:rFonts w:ascii="Times New Roman" w:hAnsi="Times New Roman" w:eastAsia="仿宋_GB2312" w:cs="Times New Roman"/>
          <w:color w:val="auto"/>
          <w:sz w:val="32"/>
          <w:szCs w:val="32"/>
          <w:highlight w:val="none"/>
        </w:rPr>
        <w:t>万元，其中：一般公共预算收入</w:t>
      </w:r>
      <w:r>
        <w:rPr>
          <w:rFonts w:hint="eastAsia" w:ascii="Times New Roman" w:hAnsi="Times New Roman" w:eastAsia="仿宋_GB2312" w:cs="Times New Roman"/>
          <w:color w:val="auto"/>
          <w:sz w:val="32"/>
          <w:szCs w:val="32"/>
          <w:highlight w:val="none"/>
          <w:lang w:val="en-US" w:eastAsia="zh-CN"/>
        </w:rPr>
        <w:t>1241.37</w:t>
      </w:r>
      <w:r>
        <w:rPr>
          <w:rFonts w:ascii="Times New Roman" w:hAnsi="Times New Roman" w:eastAsia="仿宋_GB2312" w:cs="Times New Roman"/>
          <w:color w:val="auto"/>
          <w:sz w:val="32"/>
          <w:szCs w:val="32"/>
          <w:highlight w:val="none"/>
        </w:rPr>
        <w:t>万元，基金预算收入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万元，财政专户核拨收入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万元，其他来源收入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上年结转</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w:t>
      </w:r>
    </w:p>
    <w:p>
      <w:pPr>
        <w:spacing w:line="584" w:lineRule="exact"/>
        <w:ind w:firstLine="64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2、支出说明</w:t>
      </w:r>
    </w:p>
    <w:p>
      <w:pPr>
        <w:spacing w:line="584" w:lineRule="exact"/>
        <w:ind w:firstLine="64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收支预算总表支出栏、基本支出表、项目支出表按经济分类和支出功能分类科目编制，反映香河县</w:t>
      </w:r>
      <w:r>
        <w:rPr>
          <w:rFonts w:hint="eastAsia" w:ascii="Times New Roman" w:hAnsi="Times New Roman" w:eastAsia="仿宋_GB2312" w:cs="Times New Roman"/>
          <w:color w:val="auto"/>
          <w:sz w:val="32"/>
          <w:szCs w:val="32"/>
          <w:highlight w:val="none"/>
          <w:lang w:eastAsia="zh-CN"/>
        </w:rPr>
        <w:t>殡仪馆</w:t>
      </w:r>
      <w:r>
        <w:rPr>
          <w:rFonts w:hint="eastAsia" w:ascii="Times New Roman" w:hAnsi="Times New Roman" w:eastAsia="仿宋_GB2312" w:cs="Times New Roman"/>
          <w:color w:val="auto"/>
          <w:sz w:val="32"/>
          <w:szCs w:val="32"/>
          <w:highlight w:val="none"/>
          <w:lang w:val="en-US" w:eastAsia="zh-CN"/>
        </w:rPr>
        <w:t>2021</w:t>
      </w:r>
      <w:r>
        <w:rPr>
          <w:rFonts w:ascii="Times New Roman" w:hAnsi="Times New Roman" w:eastAsia="仿宋_GB2312" w:cs="Times New Roman"/>
          <w:color w:val="auto"/>
          <w:sz w:val="32"/>
          <w:szCs w:val="32"/>
          <w:highlight w:val="none"/>
        </w:rPr>
        <w:t>年度单位预算中支出预算的总体情况。20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年支出预算</w:t>
      </w:r>
      <w:r>
        <w:rPr>
          <w:rFonts w:hint="eastAsia" w:ascii="Times New Roman" w:hAnsi="Times New Roman" w:eastAsia="仿宋_GB2312" w:cs="Times New Roman"/>
          <w:color w:val="auto"/>
          <w:sz w:val="32"/>
          <w:szCs w:val="32"/>
          <w:highlight w:val="none"/>
          <w:lang w:val="en-US" w:eastAsia="zh-CN"/>
        </w:rPr>
        <w:t>1241.37</w:t>
      </w:r>
      <w:r>
        <w:rPr>
          <w:rFonts w:ascii="Times New Roman" w:hAnsi="Times New Roman" w:eastAsia="仿宋_GB2312" w:cs="Times New Roman"/>
          <w:color w:val="auto"/>
          <w:sz w:val="32"/>
          <w:szCs w:val="32"/>
          <w:highlight w:val="none"/>
        </w:rPr>
        <w:t>万元，其中基本支出</w:t>
      </w:r>
      <w:r>
        <w:rPr>
          <w:rFonts w:hint="eastAsia" w:ascii="Times New Roman" w:hAnsi="Times New Roman" w:eastAsia="仿宋_GB2312" w:cs="Times New Roman"/>
          <w:color w:val="auto"/>
          <w:sz w:val="32"/>
          <w:szCs w:val="32"/>
          <w:highlight w:val="none"/>
          <w:lang w:val="en-US" w:eastAsia="zh-CN"/>
        </w:rPr>
        <w:t>41.37</w:t>
      </w:r>
      <w:r>
        <w:rPr>
          <w:rFonts w:ascii="Times New Roman" w:hAnsi="Times New Roman" w:eastAsia="仿宋_GB2312" w:cs="Times New Roman"/>
          <w:color w:val="auto"/>
          <w:sz w:val="32"/>
          <w:szCs w:val="32"/>
          <w:highlight w:val="none"/>
        </w:rPr>
        <w:t>万元，包括人员类项目经费</w:t>
      </w:r>
      <w:r>
        <w:rPr>
          <w:rFonts w:hint="eastAsia" w:ascii="Times New Roman" w:hAnsi="Times New Roman" w:eastAsia="仿宋_GB2312" w:cs="Times New Roman"/>
          <w:color w:val="auto"/>
          <w:sz w:val="32"/>
          <w:szCs w:val="32"/>
          <w:highlight w:val="none"/>
          <w:lang w:val="en-US" w:eastAsia="zh-CN"/>
        </w:rPr>
        <w:t>41.37</w:t>
      </w:r>
      <w:r>
        <w:rPr>
          <w:rFonts w:ascii="Times New Roman" w:hAnsi="Times New Roman" w:eastAsia="仿宋_GB2312" w:cs="Times New Roman"/>
          <w:color w:val="auto"/>
          <w:sz w:val="32"/>
          <w:szCs w:val="32"/>
          <w:highlight w:val="none"/>
        </w:rPr>
        <w:t>万元和</w:t>
      </w:r>
      <w:r>
        <w:rPr>
          <w:rFonts w:hint="eastAsia" w:ascii="Times New Roman" w:hAnsi="Times New Roman" w:eastAsia="仿宋_GB2312" w:cs="Times New Roman"/>
          <w:color w:val="auto"/>
          <w:sz w:val="32"/>
          <w:szCs w:val="32"/>
          <w:highlight w:val="none"/>
        </w:rPr>
        <w:t>运转类</w:t>
      </w:r>
      <w:r>
        <w:rPr>
          <w:rFonts w:ascii="Times New Roman" w:hAnsi="Times New Roman" w:eastAsia="仿宋_GB2312" w:cs="Times New Roman"/>
          <w:color w:val="auto"/>
          <w:sz w:val="32"/>
          <w:szCs w:val="32"/>
          <w:highlight w:val="none"/>
        </w:rPr>
        <w:t>公用项目经费</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万元；运转类其他及特定目标类项目支出</w:t>
      </w:r>
      <w:r>
        <w:rPr>
          <w:rFonts w:hint="eastAsia" w:ascii="Times New Roman" w:hAnsi="Times New Roman" w:eastAsia="仿宋_GB2312" w:cs="Times New Roman"/>
          <w:color w:val="auto"/>
          <w:sz w:val="32"/>
          <w:szCs w:val="32"/>
          <w:highlight w:val="none"/>
          <w:lang w:val="en-US" w:eastAsia="zh-CN"/>
        </w:rPr>
        <w:t>1200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sz w:val="32"/>
          <w:szCs w:val="32"/>
          <w:highlight w:val="none"/>
        </w:rPr>
        <w:t>包括本级支出</w:t>
      </w:r>
      <w:r>
        <w:rPr>
          <w:rFonts w:hint="eastAsia" w:ascii="Times New Roman" w:hAnsi="Times New Roman" w:eastAsia="仿宋_GB2312" w:cs="Times New Roman"/>
          <w:sz w:val="32"/>
          <w:szCs w:val="32"/>
          <w:highlight w:val="none"/>
          <w:lang w:val="en-US" w:eastAsia="zh-CN"/>
        </w:rPr>
        <w:t>1200</w:t>
      </w:r>
      <w:r>
        <w:rPr>
          <w:rFonts w:ascii="Times New Roman" w:hAnsi="Times New Roman" w:eastAsia="仿宋_GB2312" w:cs="Times New Roman"/>
          <w:sz w:val="32"/>
          <w:szCs w:val="32"/>
          <w:highlight w:val="none"/>
        </w:rPr>
        <w:t>万元，</w:t>
      </w:r>
      <w:r>
        <w:rPr>
          <w:rFonts w:ascii="Times New Roman" w:hAnsi="Times New Roman" w:eastAsia="仿宋_GB2312" w:cs="Times New Roman"/>
          <w:color w:val="auto"/>
          <w:sz w:val="32"/>
          <w:szCs w:val="32"/>
          <w:highlight w:val="none"/>
        </w:rPr>
        <w:t>主要为</w:t>
      </w:r>
      <w:r>
        <w:rPr>
          <w:rFonts w:hint="eastAsia" w:ascii="Times New Roman" w:hAnsi="Times New Roman" w:eastAsia="仿宋_GB2312" w:cs="Times New Roman"/>
          <w:color w:val="auto"/>
          <w:sz w:val="32"/>
          <w:szCs w:val="32"/>
          <w:highlight w:val="none"/>
        </w:rPr>
        <w:t>经费补助</w:t>
      </w:r>
      <w:r>
        <w:rPr>
          <w:rFonts w:hint="eastAsia" w:ascii="Times New Roman" w:hAnsi="Times New Roman" w:eastAsia="仿宋_GB2312" w:cs="Times New Roman"/>
          <w:color w:val="auto"/>
          <w:sz w:val="32"/>
          <w:szCs w:val="32"/>
          <w:highlight w:val="none"/>
          <w:lang w:val="en-US" w:eastAsia="zh-CN"/>
        </w:rPr>
        <w:t>1200万元</w:t>
      </w:r>
      <w:r>
        <w:rPr>
          <w:rFonts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w:t>
      </w:r>
    </w:p>
    <w:p>
      <w:pPr>
        <w:spacing w:line="584" w:lineRule="exact"/>
        <w:ind w:firstLine="64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3、比上年增减情况</w:t>
      </w:r>
    </w:p>
    <w:p>
      <w:pPr>
        <w:spacing w:line="584" w:lineRule="exact"/>
        <w:ind w:firstLine="1292" w:firstLineChars="404"/>
        <w:rPr>
          <w:rFonts w:hint="eastAsia" w:ascii="Times New Roman" w:hAnsi="Times New Roman" w:eastAsia="仿宋_GB2312" w:cs="Times New Roman"/>
          <w:color w:val="auto"/>
          <w:sz w:val="32"/>
          <w:szCs w:val="32"/>
          <w:highlight w:val="none"/>
          <w:lang w:val="en-US" w:eastAsia="zh-CN"/>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年预算收支安排</w:t>
      </w:r>
      <w:r>
        <w:rPr>
          <w:rFonts w:hint="eastAsia" w:ascii="Times New Roman" w:hAnsi="Times New Roman" w:eastAsia="仿宋_GB2312" w:cs="Times New Roman"/>
          <w:color w:val="auto"/>
          <w:sz w:val="32"/>
          <w:szCs w:val="32"/>
          <w:highlight w:val="none"/>
          <w:lang w:val="en-US" w:eastAsia="zh-CN"/>
        </w:rPr>
        <w:t>1241.37</w:t>
      </w:r>
      <w:r>
        <w:rPr>
          <w:rFonts w:ascii="Times New Roman" w:hAnsi="Times New Roman" w:eastAsia="仿宋_GB2312" w:cs="Times New Roman"/>
          <w:color w:val="auto"/>
          <w:sz w:val="32"/>
          <w:szCs w:val="32"/>
          <w:highlight w:val="none"/>
        </w:rPr>
        <w:t>万元，较</w:t>
      </w: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color w:val="auto"/>
          <w:sz w:val="32"/>
          <w:szCs w:val="32"/>
          <w:highlight w:val="none"/>
          <w:lang w:val="en-US" w:eastAsia="zh-CN"/>
        </w:rPr>
        <w:t>预算减少17.6万元，其中，基本支出中人员经费减少了417.6万元，主要为执收执罚单位自聘人员经费支出的减少；项目支出增加了400万元，主要为执收执罚单位公用经费补助支出</w:t>
      </w:r>
      <w:bookmarkStart w:id="3" w:name="_GoBack"/>
      <w:bookmarkEnd w:id="3"/>
      <w:r>
        <w:rPr>
          <w:rFonts w:hint="eastAsia" w:ascii="Times New Roman" w:hAnsi="Times New Roman" w:eastAsia="仿宋_GB2312" w:cs="Times New Roman"/>
          <w:color w:val="auto"/>
          <w:sz w:val="32"/>
          <w:szCs w:val="32"/>
          <w:highlight w:val="none"/>
          <w:lang w:val="en-US" w:eastAsia="zh-CN"/>
        </w:rPr>
        <w:t>的增加。</w:t>
      </w:r>
    </w:p>
    <w:p>
      <w:pPr>
        <w:autoSpaceDE w:val="0"/>
        <w:autoSpaceDN w:val="0"/>
        <w:adjustRightInd w:val="0"/>
        <w:spacing w:line="584" w:lineRule="exact"/>
        <w:ind w:left="198" w:firstLine="640" w:firstLineChars="200"/>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年，我</w:t>
      </w:r>
      <w:r>
        <w:rPr>
          <w:rFonts w:hint="eastAsia" w:ascii="Times New Roman" w:hAnsi="Times New Roman" w:eastAsia="仿宋_GB2312" w:cs="Times New Roman"/>
          <w:color w:val="auto"/>
          <w:sz w:val="32"/>
          <w:szCs w:val="32"/>
          <w:highlight w:val="none"/>
          <w:lang w:val="en-US" w:eastAsia="zh-CN"/>
        </w:rPr>
        <w:t>单位</w:t>
      </w:r>
      <w:r>
        <w:rPr>
          <w:rFonts w:ascii="Times New Roman" w:hAnsi="Times New Roman" w:eastAsia="仿宋_GB2312" w:cs="Times New Roman"/>
          <w:color w:val="auto"/>
          <w:sz w:val="32"/>
          <w:szCs w:val="32"/>
          <w:highlight w:val="none"/>
        </w:rPr>
        <w:t>运行经费共计安排</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万元，主要用于</w:t>
      </w:r>
      <w:r>
        <w:rPr>
          <w:rFonts w:hint="eastAsia" w:ascii="Times New Roman" w:hAnsi="Times New Roman" w:eastAsia="仿宋_GB2312" w:cs="Times New Roman"/>
          <w:color w:val="auto"/>
          <w:sz w:val="32"/>
          <w:szCs w:val="32"/>
          <w:highlight w:val="none"/>
          <w:lang w:val="en-US" w:eastAsia="zh-CN"/>
        </w:rPr>
        <w:t>殡仪馆</w:t>
      </w:r>
      <w:r>
        <w:rPr>
          <w:rFonts w:ascii="Times New Roman" w:hAnsi="Times New Roman" w:eastAsia="仿宋_GB2312" w:cs="Times New Roman"/>
          <w:color w:val="auto"/>
          <w:sz w:val="32"/>
          <w:szCs w:val="32"/>
          <w:highlight w:val="none"/>
        </w:rPr>
        <w:t>的日常维修、办公用房水电费</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办公用房取暖费、邮电费、工会福利费</w:t>
      </w:r>
      <w:r>
        <w:rPr>
          <w:rFonts w:ascii="Times New Roman" w:hAnsi="Times New Roman" w:eastAsia="仿宋_GB2312" w:cs="Times New Roman"/>
          <w:color w:val="auto"/>
          <w:sz w:val="32"/>
          <w:szCs w:val="32"/>
          <w:highlight w:val="none"/>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21</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val="en-US" w:eastAsia="zh-CN"/>
        </w:rPr>
        <w:t>单位</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同2020年相比持平，无增减变化</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val="en-US" w:eastAsia="zh-CN"/>
        </w:rPr>
        <w:t>同2020年相比持平，无增减变化</w:t>
      </w:r>
      <w:r>
        <w:rPr>
          <w:rFonts w:ascii="Times New Roman" w:hAnsi="Times New Roman" w:eastAsia="仿宋_GB2312" w:cs="Times New Roman"/>
          <w:sz w:val="32"/>
          <w:szCs w:val="32"/>
          <w:highlight w:val="none"/>
        </w:rPr>
        <w:t>，公务用车</w:t>
      </w:r>
      <w:r>
        <w:rPr>
          <w:rFonts w:hint="eastAsia" w:ascii="Times New Roman" w:hAnsi="Times New Roman" w:eastAsia="仿宋_GB2312" w:cs="Times New Roman"/>
          <w:sz w:val="32"/>
          <w:szCs w:val="32"/>
          <w:highlight w:val="none"/>
          <w:lang w:val="en-US" w:eastAsia="zh-CN"/>
        </w:rPr>
        <w:t>运维费同2020年相比持平，无增减变化</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val="en-US" w:eastAsia="zh-CN"/>
        </w:rPr>
        <w:t>单位</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w:t>
      </w:r>
      <w:r>
        <w:rPr>
          <w:rFonts w:ascii="Times New Roman" w:hAnsi="Times New Roman" w:eastAsia="仿宋_GB2312" w:cs="Times New Roman"/>
          <w:color w:val="auto"/>
          <w:sz w:val="32"/>
          <w:szCs w:val="32"/>
          <w:highlight w:val="none"/>
        </w:rPr>
        <w:t>公务接待费与20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rPr>
        <w:t>我</w:t>
      </w:r>
      <w:r>
        <w:rPr>
          <w:rFonts w:hint="eastAsia" w:ascii="Times New Roman" w:hAnsi="Times New Roman" w:eastAsia="仿宋_GB2312" w:cs="Times New Roman"/>
          <w:color w:val="auto"/>
          <w:sz w:val="32"/>
          <w:szCs w:val="32"/>
          <w:highlight w:val="none"/>
          <w:lang w:val="en-US" w:eastAsia="zh-CN"/>
        </w:rPr>
        <w:t>单位</w:t>
      </w:r>
      <w:r>
        <w:rPr>
          <w:rFonts w:hint="eastAsia" w:ascii="Times New Roman" w:hAnsi="Times New Roman" w:eastAsia="仿宋_GB2312" w:cs="Times New Roman"/>
          <w:color w:val="auto"/>
          <w:sz w:val="32"/>
          <w:szCs w:val="32"/>
          <w:highlight w:val="none"/>
        </w:rPr>
        <w:t>切实落实勤俭节约各项规定，严格控制公务接待费支出。</w:t>
      </w:r>
    </w:p>
    <w:p>
      <w:pPr>
        <w:autoSpaceDE w:val="0"/>
        <w:autoSpaceDN w:val="0"/>
        <w:adjustRightInd w:val="0"/>
        <w:spacing w:line="584" w:lineRule="exact"/>
        <w:jc w:val="left"/>
        <w:rPr>
          <w:rFonts w:hint="eastAsia" w:ascii="Times New Roman" w:hAnsi="Times New Roman" w:eastAsia="仿宋_GB2312" w:cs="Times New Roman"/>
          <w:color w:val="auto"/>
          <w:sz w:val="32"/>
          <w:szCs w:val="32"/>
          <w:highlight w:val="none"/>
        </w:rPr>
      </w:pPr>
    </w:p>
    <w:p>
      <w:pPr>
        <w:autoSpaceDE w:val="0"/>
        <w:autoSpaceDN w:val="0"/>
        <w:adjustRightInd w:val="0"/>
        <w:spacing w:line="584" w:lineRule="exact"/>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br w:type="textWrapping"/>
      </w:r>
    </w:p>
    <w:p>
      <w:pPr>
        <w:spacing w:line="584" w:lineRule="exact"/>
        <w:ind w:firstLine="640" w:firstLineChars="200"/>
        <w:rPr>
          <w:rFonts w:ascii="Times New Roman" w:hAnsi="Times New Roman" w:eastAsia="黑体" w:cs="Times New Roman"/>
          <w:color w:val="auto"/>
          <w:sz w:val="32"/>
          <w:szCs w:val="32"/>
          <w:highlight w:val="none"/>
        </w:rPr>
      </w:pPr>
    </w:p>
    <w:p>
      <w:pPr>
        <w:spacing w:line="584" w:lineRule="exact"/>
        <w:ind w:firstLine="640" w:firstLineChars="200"/>
        <w:rPr>
          <w:rFonts w:ascii="Times New Roman" w:hAnsi="Times New Roman" w:eastAsia="黑体" w:cs="Times New Roman"/>
          <w:color w:val="auto"/>
          <w:sz w:val="32"/>
          <w:szCs w:val="32"/>
          <w:highlight w:val="none"/>
        </w:rPr>
      </w:pPr>
    </w:p>
    <w:p>
      <w:pPr>
        <w:spacing w:line="584"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五、绩效预算信息</w:t>
      </w:r>
    </w:p>
    <w:p>
      <w:pPr>
        <w:ind w:firstLine="562" w:firstLineChars="200"/>
        <w:jc w:val="left"/>
        <w:outlineLvl w:val="3"/>
        <w:rPr>
          <w:rFonts w:hAnsi="宋体"/>
          <w:b/>
          <w:sz w:val="28"/>
        </w:rPr>
      </w:pPr>
      <w:bookmarkStart w:id="0" w:name="_Toc67412397"/>
      <w:r>
        <w:rPr>
          <w:rFonts w:hint="eastAsia" w:ascii="方正仿宋_GBK" w:eastAsia="方正仿宋_GBK"/>
          <w:b/>
          <w:sz w:val="28"/>
          <w:lang w:val="en-US" w:eastAsia="zh-CN"/>
        </w:rPr>
        <w:t>1</w:t>
      </w:r>
      <w:r>
        <w:rPr>
          <w:rFonts w:hint="eastAsia" w:ascii="方正仿宋_GBK" w:eastAsia="方正仿宋_GBK"/>
          <w:b/>
          <w:sz w:val="28"/>
        </w:rPr>
        <w:t>.经费补助绩效目标表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58、经费补助绩效目标表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75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106"/>
        <w:gridCol w:w="1648"/>
        <w:gridCol w:w="1924"/>
        <w:gridCol w:w="1082"/>
        <w:gridCol w:w="1206"/>
        <w:gridCol w:w="46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08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314011</w:t>
            </w:r>
            <w:r>
              <w:rPr>
                <w:rFonts w:hint="eastAsia" w:ascii="方正书宋_GBK" w:eastAsia="方正书宋_GBK"/>
                <w:b/>
              </w:rPr>
              <w:t>香河县殡仪馆</w:t>
            </w:r>
          </w:p>
        </w:tc>
        <w:tc>
          <w:tcPr>
            <w:tcW w:w="467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75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13102421U7ETWTS7D7NKC</w:t>
            </w:r>
          </w:p>
        </w:tc>
        <w:tc>
          <w:tcPr>
            <w:tcW w:w="19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966"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4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1200.00</w:t>
            </w:r>
          </w:p>
        </w:tc>
        <w:tc>
          <w:tcPr>
            <w:tcW w:w="19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8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1200.00</w:t>
            </w:r>
          </w:p>
        </w:tc>
        <w:tc>
          <w:tcPr>
            <w:tcW w:w="12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6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64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本单位基本工资支出及商品和服务支出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75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92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8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88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75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92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8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88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64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进一步深化殡葬改革，保障殡葬事业正常开展，提升殡葬服务水平，促进社会和谐发展</w:t>
            </w:r>
          </w:p>
        </w:tc>
      </w:tr>
    </w:tbl>
    <w:p>
      <w:pPr>
        <w:spacing w:line="14" w:lineRule="exact"/>
        <w:jc w:val="center"/>
        <w:rPr>
          <w:rFonts w:hAnsi="宋体"/>
        </w:rPr>
      </w:pPr>
      <w:r>
        <w:rPr>
          <w:rFonts w:ascii="方正书宋_GBK" w:eastAsia="方正书宋_GBK"/>
        </w:rPr>
        <w:t xml:space="preserve"> </w:t>
      </w:r>
    </w:p>
    <w:tbl>
      <w:tblPr>
        <w:tblStyle w:val="8"/>
        <w:tblW w:w="137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2106"/>
        <w:gridCol w:w="2316"/>
        <w:gridCol w:w="3786"/>
        <w:gridCol w:w="1529"/>
        <w:gridCol w:w="2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2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78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6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殡葬服务费</w:t>
            </w:r>
          </w:p>
        </w:tc>
        <w:tc>
          <w:tcPr>
            <w:tcW w:w="3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人员经费补助</w:t>
            </w:r>
          </w:p>
        </w:tc>
        <w:tc>
          <w:tcPr>
            <w:tcW w:w="15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人</w:t>
            </w:r>
          </w:p>
        </w:tc>
        <w:tc>
          <w:tcPr>
            <w:tcW w:w="27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66"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完成经费补助发放</w:t>
            </w:r>
          </w:p>
        </w:tc>
        <w:tc>
          <w:tcPr>
            <w:tcW w:w="3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经费补助及时发放</w:t>
            </w:r>
          </w:p>
        </w:tc>
        <w:tc>
          <w:tcPr>
            <w:tcW w:w="15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实际发放补助资金数百分比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66"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经费补助按时发放</w:t>
            </w:r>
          </w:p>
        </w:tc>
        <w:tc>
          <w:tcPr>
            <w:tcW w:w="3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按月度发放</w:t>
            </w:r>
          </w:p>
        </w:tc>
        <w:tc>
          <w:tcPr>
            <w:tcW w:w="152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月</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66"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殡葬服务经费</w:t>
            </w:r>
          </w:p>
        </w:tc>
        <w:tc>
          <w:tcPr>
            <w:tcW w:w="3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足额发放经费补助</w:t>
            </w:r>
          </w:p>
        </w:tc>
        <w:tc>
          <w:tcPr>
            <w:tcW w:w="15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月实际发放补助金额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6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保障殡葬事业正常开展</w:t>
            </w:r>
          </w:p>
        </w:tc>
        <w:tc>
          <w:tcPr>
            <w:tcW w:w="3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保障殡葬事业正常开展，提升服务水平</w:t>
            </w:r>
          </w:p>
        </w:tc>
        <w:tc>
          <w:tcPr>
            <w:tcW w:w="15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社会民意调查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66"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持续发放</w:t>
            </w:r>
          </w:p>
        </w:tc>
        <w:tc>
          <w:tcPr>
            <w:tcW w:w="3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及时发放经费补助</w:t>
            </w:r>
          </w:p>
        </w:tc>
        <w:tc>
          <w:tcPr>
            <w:tcW w:w="15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以年为周期进行数据汇总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6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37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p>
        </w:tc>
        <w:tc>
          <w:tcPr>
            <w:tcW w:w="15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社会民意调查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autoSpaceDE w:val="0"/>
        <w:autoSpaceDN w:val="0"/>
        <w:adjustRightInd w:val="0"/>
        <w:spacing w:line="584" w:lineRule="exact"/>
        <w:ind w:firstLine="880" w:firstLineChars="200"/>
        <w:jc w:val="left"/>
        <w:rPr>
          <w:rFonts w:ascii="Times New Roman" w:hAnsi="Times New Roman" w:eastAsia="黑体" w:cs="Times New Roman"/>
          <w:color w:val="auto"/>
          <w:sz w:val="44"/>
          <w:szCs w:val="44"/>
          <w:highlight w:val="none"/>
        </w:rPr>
      </w:pPr>
    </w:p>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六、政府采购预算情况</w:t>
      </w:r>
    </w:p>
    <w:p>
      <w:pPr>
        <w:spacing w:line="584" w:lineRule="exact"/>
        <w:ind w:firstLine="640" w:firstLineChars="200"/>
        <w:outlineLvl w:val="0"/>
        <w:rPr>
          <w:rFonts w:ascii="Times New Roman" w:hAnsi="Times New Roman" w:eastAsia="仿宋_GB2312" w:cs="Times New Roman"/>
          <w:color w:val="auto"/>
          <w:sz w:val="32"/>
          <w:szCs w:val="24"/>
          <w:highlight w:val="none"/>
        </w:rPr>
      </w:pPr>
      <w:bookmarkStart w:id="1" w:name="_Toc471398468"/>
      <w:r>
        <w:rPr>
          <w:rFonts w:ascii="Times New Roman" w:hAnsi="Times New Roman" w:eastAsia="仿宋_GB2312" w:cs="Times New Roman"/>
          <w:color w:val="auto"/>
          <w:sz w:val="32"/>
          <w:szCs w:val="24"/>
          <w:highlight w:val="none"/>
        </w:rPr>
        <w:t>20</w:t>
      </w:r>
      <w:r>
        <w:rPr>
          <w:rFonts w:hint="eastAsia" w:ascii="Times New Roman" w:hAnsi="Times New Roman" w:eastAsia="仿宋_GB2312" w:cs="Times New Roman"/>
          <w:color w:val="auto"/>
          <w:sz w:val="32"/>
          <w:szCs w:val="24"/>
          <w:highlight w:val="none"/>
        </w:rPr>
        <w:t>21</w:t>
      </w:r>
      <w:r>
        <w:rPr>
          <w:rFonts w:ascii="Times New Roman" w:hAnsi="Times New Roman" w:eastAsia="仿宋_GB2312" w:cs="Times New Roman"/>
          <w:color w:val="auto"/>
          <w:sz w:val="32"/>
          <w:szCs w:val="24"/>
          <w:highlight w:val="none"/>
        </w:rPr>
        <w:t>年，我单位安排政府采购预算</w:t>
      </w:r>
      <w:r>
        <w:rPr>
          <w:rFonts w:hint="eastAsia" w:ascii="Times New Roman" w:hAnsi="Times New Roman" w:eastAsia="仿宋_GB2312" w:cs="Times New Roman"/>
          <w:color w:val="auto"/>
          <w:sz w:val="32"/>
          <w:szCs w:val="24"/>
          <w:highlight w:val="none"/>
          <w:lang w:val="en-US" w:eastAsia="zh-CN"/>
        </w:rPr>
        <w:t>0</w:t>
      </w:r>
      <w:r>
        <w:rPr>
          <w:rFonts w:ascii="Times New Roman" w:hAnsi="Times New Roman" w:eastAsia="仿宋_GB2312" w:cs="Times New Roman"/>
          <w:color w:val="auto"/>
          <w:sz w:val="32"/>
          <w:szCs w:val="24"/>
          <w:highlight w:val="none"/>
        </w:rPr>
        <w:t>万元。具体内容见下表。</w:t>
      </w:r>
    </w:p>
    <w:bookmarkEnd w:id="1"/>
    <w:p>
      <w:pPr>
        <w:spacing w:line="584" w:lineRule="exact"/>
        <w:jc w:val="left"/>
        <w:outlineLvl w:val="0"/>
        <w:rPr>
          <w:rFonts w:ascii="Times New Roman" w:hAnsi="Times New Roman" w:eastAsia="仿宋_GB2312" w:cs="Times New Roman"/>
          <w:color w:val="auto"/>
          <w:highlight w:val="none"/>
        </w:rPr>
      </w:pPr>
    </w:p>
    <w:p>
      <w:pPr>
        <w:jc w:val="center"/>
        <w:outlineLvl w:val="1"/>
        <w:rPr>
          <w:rFonts w:ascii="Times New Roman" w:hAnsi="Times New Roman" w:cs="Times New Roman"/>
          <w:color w:val="auto"/>
          <w:sz w:val="32"/>
          <w:highlight w:val="none"/>
        </w:rPr>
      </w:pPr>
      <w:bookmarkStart w:id="2" w:name="_Toc64920910"/>
      <w:r>
        <w:rPr>
          <w:rFonts w:hint="eastAsia" w:ascii="方正小标宋_GBK" w:eastAsia="方正小标宋_GBK" w:cs="Times New Roman"/>
          <w:color w:val="auto"/>
          <w:sz w:val="32"/>
          <w:highlight w:val="none"/>
        </w:rPr>
        <w:t>单位政府采购预算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color w:val="auto"/>
                <w:sz w:val="24"/>
                <w:highlight w:val="none"/>
                <w:lang w:val="en-US" w:eastAsia="zh-CN"/>
              </w:rPr>
            </w:pPr>
            <w:r>
              <w:rPr>
                <w:rFonts w:ascii="方正小标宋_GBK" w:eastAsia="方正小标宋_GBK" w:cs="Times New Roman"/>
                <w:color w:val="auto"/>
                <w:sz w:val="24"/>
                <w:highlight w:val="none"/>
              </w:rPr>
              <w:t>香河县</w:t>
            </w:r>
            <w:r>
              <w:rPr>
                <w:rFonts w:hint="eastAsia" w:ascii="方正小标宋_GBK" w:eastAsia="方正小标宋_GBK" w:cs="Times New Roman"/>
                <w:color w:val="auto"/>
                <w:sz w:val="24"/>
                <w:highlight w:val="none"/>
                <w:lang w:val="en-US" w:eastAsia="zh-CN"/>
              </w:rPr>
              <w:t>殡仪馆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color w:val="auto"/>
                <w:sz w:val="24"/>
                <w:highlight w:val="none"/>
              </w:rPr>
            </w:pPr>
            <w:r>
              <w:rPr>
                <w:rFonts w:ascii="方正书宋_GBK" w:eastAsia="方正书宋_GBK" w:cs="Times New Roman"/>
                <w:color w:val="auto"/>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数量</w:t>
            </w:r>
          </w:p>
        </w:tc>
        <w:tc>
          <w:tcPr>
            <w:tcW w:w="907" w:type="dxa"/>
            <w:vMerge w:val="restart"/>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单价</w:t>
            </w:r>
          </w:p>
        </w:tc>
        <w:tc>
          <w:tcPr>
            <w:tcW w:w="6804" w:type="dxa"/>
            <w:gridSpan w:val="6"/>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项目名称</w:t>
            </w:r>
          </w:p>
        </w:tc>
        <w:tc>
          <w:tcPr>
            <w:tcW w:w="113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预算资金</w:t>
            </w:r>
          </w:p>
        </w:tc>
        <w:tc>
          <w:tcPr>
            <w:tcW w:w="1531" w:type="dxa"/>
            <w:vMerge w:val="continue"/>
            <w:shd w:val="clear" w:color="auto" w:fill="auto"/>
            <w:vAlign w:val="center"/>
          </w:tcPr>
          <w:p>
            <w:pPr>
              <w:rPr>
                <w:color w:val="auto"/>
                <w:highlight w:val="none"/>
              </w:rPr>
            </w:pPr>
          </w:p>
        </w:tc>
        <w:tc>
          <w:tcPr>
            <w:tcW w:w="1531" w:type="dxa"/>
            <w:vMerge w:val="continue"/>
            <w:shd w:val="clear" w:color="auto" w:fill="auto"/>
            <w:vAlign w:val="center"/>
          </w:tcPr>
          <w:p>
            <w:pPr>
              <w:rPr>
                <w:color w:val="auto"/>
                <w:highlight w:val="none"/>
              </w:rPr>
            </w:pPr>
          </w:p>
        </w:tc>
        <w:tc>
          <w:tcPr>
            <w:tcW w:w="709" w:type="dxa"/>
            <w:vMerge w:val="continue"/>
            <w:shd w:val="clear" w:color="auto" w:fill="auto"/>
            <w:vAlign w:val="center"/>
          </w:tcPr>
          <w:p>
            <w:pPr>
              <w:rPr>
                <w:color w:val="auto"/>
                <w:highlight w:val="none"/>
              </w:rPr>
            </w:pPr>
          </w:p>
        </w:tc>
        <w:tc>
          <w:tcPr>
            <w:tcW w:w="907" w:type="dxa"/>
            <w:vMerge w:val="continue"/>
            <w:shd w:val="clear" w:color="auto" w:fill="auto"/>
            <w:vAlign w:val="center"/>
          </w:tcPr>
          <w:p>
            <w:pPr>
              <w:rPr>
                <w:color w:val="auto"/>
                <w:highlight w:val="none"/>
              </w:rPr>
            </w:pPr>
          </w:p>
        </w:tc>
        <w:tc>
          <w:tcPr>
            <w:tcW w:w="907" w:type="dxa"/>
            <w:vMerge w:val="continue"/>
            <w:shd w:val="clear" w:color="auto" w:fill="auto"/>
            <w:vAlign w:val="center"/>
          </w:tcPr>
          <w:p>
            <w:pPr>
              <w:rPr>
                <w:color w:val="auto"/>
                <w:highlight w:val="none"/>
              </w:rPr>
            </w:pPr>
          </w:p>
        </w:tc>
        <w:tc>
          <w:tcPr>
            <w:tcW w:w="113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合计</w:t>
            </w:r>
          </w:p>
        </w:tc>
        <w:tc>
          <w:tcPr>
            <w:tcW w:w="113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一般公共预算拨款</w:t>
            </w:r>
          </w:p>
        </w:tc>
        <w:tc>
          <w:tcPr>
            <w:tcW w:w="113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基金预算拨款</w:t>
            </w:r>
          </w:p>
        </w:tc>
        <w:tc>
          <w:tcPr>
            <w:tcW w:w="113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财政专户核拨</w:t>
            </w:r>
          </w:p>
        </w:tc>
        <w:tc>
          <w:tcPr>
            <w:tcW w:w="113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auto"/>
                <w:highlight w:val="none"/>
              </w:rPr>
            </w:pPr>
            <w:r>
              <w:rPr>
                <w:rFonts w:ascii="方正书宋_GBK" w:eastAsia="方正书宋_GBK" w:cs="Times New Roman"/>
                <w:b/>
                <w:color w:val="auto"/>
                <w:highlight w:val="none"/>
              </w:rPr>
              <w:t>合  计</w:t>
            </w: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b/>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b/>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b/>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b/>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b/>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b/>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b/>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1531" w:type="dxa"/>
            <w:shd w:val="clear" w:color="auto" w:fill="auto"/>
            <w:vAlign w:val="center"/>
          </w:tcPr>
          <w:p>
            <w:pPr>
              <w:spacing w:line="300" w:lineRule="exact"/>
              <w:jc w:val="left"/>
              <w:rPr>
                <w:rFonts w:ascii="方正书宋_GBK" w:eastAsia="方正书宋_GBK" w:cs="Times New Roman"/>
                <w:color w:val="auto"/>
                <w:highlight w:val="none"/>
              </w:rPr>
            </w:pPr>
          </w:p>
        </w:tc>
        <w:tc>
          <w:tcPr>
            <w:tcW w:w="709" w:type="dxa"/>
            <w:shd w:val="clear" w:color="auto" w:fill="auto"/>
            <w:vAlign w:val="center"/>
          </w:tcPr>
          <w:p>
            <w:pPr>
              <w:spacing w:line="300" w:lineRule="exact"/>
              <w:jc w:val="center"/>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907"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c>
          <w:tcPr>
            <w:tcW w:w="1134" w:type="dxa"/>
            <w:shd w:val="clear" w:color="auto" w:fill="auto"/>
            <w:vAlign w:val="center"/>
          </w:tcPr>
          <w:p>
            <w:pPr>
              <w:spacing w:line="300" w:lineRule="exact"/>
              <w:jc w:val="right"/>
              <w:rPr>
                <w:rFonts w:ascii="方正书宋_GBK" w:eastAsia="方正书宋_GBK" w:cs="Times New Roman"/>
                <w:color w:val="auto"/>
                <w:highlight w:val="none"/>
              </w:rPr>
            </w:pPr>
          </w:p>
        </w:tc>
      </w:tr>
    </w:tbl>
    <w:p>
      <w:pPr>
        <w:spacing w:line="584" w:lineRule="exact"/>
        <w:jc w:val="left"/>
        <w:outlineLvl w:val="0"/>
        <w:rPr>
          <w:rFonts w:ascii="Times New Roman" w:hAnsi="Times New Roman" w:eastAsia="仿宋_GB2312" w:cs="Times New Roman"/>
          <w:color w:val="auto"/>
          <w:highlight w:val="none"/>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七、国有资产信息</w:t>
      </w:r>
    </w:p>
    <w:p>
      <w:pPr>
        <w:spacing w:line="584" w:lineRule="exact"/>
        <w:ind w:firstLine="640"/>
        <w:rPr>
          <w:rFonts w:ascii="Times New Roman" w:hAnsi="Times New Roman" w:eastAsia="仿宋_GB2312"/>
          <w:sz w:val="32"/>
          <w:szCs w:val="32"/>
        </w:rPr>
      </w:pPr>
      <w:r>
        <w:rPr>
          <w:rFonts w:ascii="Times New Roman" w:hAnsi="Times New Roman" w:eastAsia="仿宋_GB2312" w:cs="Times New Roman"/>
          <w:color w:val="auto"/>
          <w:sz w:val="32"/>
          <w:szCs w:val="32"/>
          <w:highlight w:val="none"/>
        </w:rPr>
        <w:t>香河县</w:t>
      </w:r>
      <w:r>
        <w:rPr>
          <w:rFonts w:hint="eastAsia" w:ascii="Times New Roman" w:hAnsi="Times New Roman" w:eastAsia="仿宋_GB2312" w:cs="Times New Roman"/>
          <w:color w:val="auto"/>
          <w:sz w:val="32"/>
          <w:szCs w:val="32"/>
          <w:highlight w:val="none"/>
          <w:lang w:eastAsia="zh-CN"/>
        </w:rPr>
        <w:t>殡仪馆</w:t>
      </w:r>
      <w:r>
        <w:rPr>
          <w:rFonts w:ascii="Times New Roman" w:hAnsi="Times New Roman" w:eastAsia="仿宋_GB2312" w:cs="Times New Roman"/>
          <w:color w:val="auto"/>
          <w:sz w:val="32"/>
          <w:szCs w:val="32"/>
          <w:highlight w:val="none"/>
        </w:rPr>
        <w:t>上年末固定资产金额为</w:t>
      </w:r>
      <w:r>
        <w:rPr>
          <w:rFonts w:hint="eastAsia" w:ascii="Times New Roman" w:hAnsi="Times New Roman" w:eastAsia="仿宋_GB2312" w:cs="Times New Roman"/>
          <w:color w:val="auto"/>
          <w:sz w:val="32"/>
          <w:szCs w:val="32"/>
          <w:highlight w:val="none"/>
          <w:lang w:val="en-US" w:eastAsia="zh-CN"/>
        </w:rPr>
        <w:t>1390.02</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rPr>
        <w:t>（详见下表）</w:t>
      </w:r>
      <w:r>
        <w:rPr>
          <w:rFonts w:ascii="Times New Roman" w:hAnsi="Times New Roman" w:eastAsia="仿宋_GB2312" w:cs="Times New Roman"/>
          <w:color w:val="auto"/>
          <w:sz w:val="32"/>
          <w:szCs w:val="32"/>
          <w:highlight w:val="none"/>
        </w:rPr>
        <w:t>，</w:t>
      </w:r>
      <w:r>
        <w:rPr>
          <w:rFonts w:ascii="Times New Roman" w:hAnsi="Times New Roman" w:eastAsia="仿宋_GB2312"/>
          <w:sz w:val="32"/>
          <w:szCs w:val="32"/>
        </w:rPr>
        <w:t>本年度我</w:t>
      </w:r>
      <w:r>
        <w:rPr>
          <w:rFonts w:hint="eastAsia" w:ascii="仿宋" w:hAnsi="仿宋" w:eastAsia="仿宋" w:cs="仿宋"/>
          <w:sz w:val="32"/>
          <w:szCs w:val="32"/>
        </w:rPr>
        <w:t>单位没有拟购置固定资产，</w:t>
      </w:r>
      <w:r>
        <w:rPr>
          <w:rFonts w:ascii="Times New Roman" w:hAnsi="Times New Roman" w:eastAsia="仿宋_GB2312"/>
          <w:sz w:val="32"/>
          <w:szCs w:val="32"/>
        </w:rPr>
        <w:t>详见下表。</w:t>
      </w:r>
    </w:p>
    <w:p>
      <w:pPr>
        <w:spacing w:line="584" w:lineRule="exact"/>
        <w:ind w:firstLine="640"/>
        <w:rPr>
          <w:rFonts w:ascii="Times New Roman" w:hAnsi="Times New Roman" w:eastAsia="仿宋_GB2312" w:cs="Times New Roman"/>
          <w:color w:val="auto"/>
          <w:sz w:val="32"/>
          <w:szCs w:val="32"/>
          <w:highlight w:val="none"/>
        </w:rPr>
      </w:pPr>
    </w:p>
    <w:p>
      <w:pPr>
        <w:spacing w:line="584" w:lineRule="exact"/>
        <w:ind w:firstLine="640"/>
        <w:rPr>
          <w:rFonts w:ascii="Times New Roman" w:hAnsi="Times New Roman" w:eastAsia="仿宋_GB2312" w:cs="Times New Roman"/>
          <w:color w:val="auto"/>
          <w:sz w:val="32"/>
          <w:szCs w:val="32"/>
          <w:highlight w:val="none"/>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32"/>
                <w:szCs w:val="32"/>
                <w:highlight w:val="none"/>
              </w:rPr>
            </w:pPr>
            <w:r>
              <w:rPr>
                <w:rFonts w:ascii="Times New Roman" w:hAnsi="Times New Roman" w:eastAsia="仿宋_GB2312" w:cs="Times New Roman"/>
                <w:b/>
                <w:bCs/>
                <w:color w:val="auto"/>
                <w:kern w:val="0"/>
                <w:sz w:val="32"/>
                <w:szCs w:val="32"/>
                <w:highlight w:val="none"/>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auto"/>
                <w:kern w:val="0"/>
                <w:sz w:val="22"/>
                <w:highlight w:val="none"/>
                <w:lang w:val="en-US" w:eastAsia="zh-CN"/>
              </w:rPr>
            </w:pPr>
            <w:r>
              <w:rPr>
                <w:rFonts w:ascii="Times New Roman" w:hAnsi="Times New Roman" w:eastAsia="仿宋_GB2312" w:cs="Times New Roman"/>
                <w:color w:val="auto"/>
                <w:kern w:val="0"/>
                <w:sz w:val="22"/>
                <w:highlight w:val="none"/>
              </w:rPr>
              <w:t>编制单位：香河县</w:t>
            </w:r>
            <w:r>
              <w:rPr>
                <w:rFonts w:hint="eastAsia" w:ascii="Times New Roman" w:hAnsi="Times New Roman" w:eastAsia="仿宋_GB2312" w:cs="Times New Roman"/>
                <w:color w:val="auto"/>
                <w:kern w:val="0"/>
                <w:sz w:val="22"/>
                <w:highlight w:val="none"/>
                <w:lang w:val="en-US" w:eastAsia="zh-CN"/>
              </w:rPr>
              <w:t>殡仪馆</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color w:val="auto"/>
                <w:kern w:val="0"/>
                <w:sz w:val="22"/>
                <w:highlight w:val="none"/>
              </w:rPr>
            </w:pPr>
            <w:r>
              <w:rPr>
                <w:rFonts w:ascii="Times New Roman" w:hAnsi="Times New Roman" w:eastAsia="仿宋_GB2312" w:cs="Times New Roman"/>
                <w:color w:val="auto"/>
                <w:kern w:val="0"/>
                <w:sz w:val="22"/>
                <w:highlight w:val="none"/>
              </w:rPr>
              <w:t>截止时间：20</w:t>
            </w:r>
            <w:r>
              <w:rPr>
                <w:rFonts w:hint="eastAsia" w:ascii="Times New Roman" w:hAnsi="Times New Roman" w:eastAsia="仿宋_GB2312" w:cs="Times New Roman"/>
                <w:color w:val="auto"/>
                <w:kern w:val="0"/>
                <w:sz w:val="22"/>
                <w:highlight w:val="none"/>
              </w:rPr>
              <w:t>20</w:t>
            </w:r>
            <w:r>
              <w:rPr>
                <w:rFonts w:ascii="Times New Roman" w:hAnsi="Times New Roman" w:eastAsia="仿宋_GB2312" w:cs="Times New Roman"/>
                <w:color w:val="auto"/>
                <w:kern w:val="0"/>
                <w:sz w:val="22"/>
                <w:highlight w:val="none"/>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highlight w:val="none"/>
              </w:rPr>
            </w:pPr>
            <w:r>
              <w:rPr>
                <w:rFonts w:ascii="Times New Roman" w:hAnsi="Times New Roman" w:eastAsia="仿宋_GB2312" w:cs="Times New Roman"/>
                <w:b/>
                <w:bCs/>
                <w:color w:val="auto"/>
                <w:kern w:val="0"/>
                <w:sz w:val="22"/>
                <w:highlight w:val="none"/>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highlight w:val="none"/>
              </w:rPr>
            </w:pPr>
            <w:r>
              <w:rPr>
                <w:rFonts w:ascii="Times New Roman" w:hAnsi="Times New Roman" w:eastAsia="仿宋_GB2312" w:cs="Times New Roman"/>
                <w:b/>
                <w:bCs/>
                <w:color w:val="auto"/>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highlight w:val="none"/>
              </w:rPr>
            </w:pPr>
            <w:r>
              <w:rPr>
                <w:rFonts w:ascii="Times New Roman" w:hAnsi="Times New Roman" w:eastAsia="仿宋_GB2312" w:cs="Times New Roman"/>
                <w:b/>
                <w:bCs/>
                <w:color w:val="auto"/>
                <w:kern w:val="0"/>
                <w:sz w:val="22"/>
                <w:highlight w:val="none"/>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highlight w:val="none"/>
              </w:rPr>
            </w:pPr>
            <w:r>
              <w:rPr>
                <w:rFonts w:ascii="Times New Roman" w:hAnsi="Times New Roman" w:eastAsia="仿宋_GB2312" w:cs="Times New Roman"/>
                <w:color w:val="auto"/>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highlight w:val="none"/>
              </w:rPr>
            </w:pPr>
            <w:r>
              <w:rPr>
                <w:rFonts w:ascii="Times New Roman" w:hAnsi="Times New Roman" w:eastAsia="仿宋_GB2312" w:cs="Times New Roman"/>
                <w:color w:val="auto"/>
                <w:sz w:val="22"/>
                <w:highlight w:val="none"/>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1390.027891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highlight w:val="none"/>
              </w:rPr>
            </w:pPr>
            <w:r>
              <w:rPr>
                <w:rFonts w:ascii="Times New Roman" w:hAnsi="Times New Roman" w:eastAsia="仿宋_GB2312" w:cs="Times New Roman"/>
                <w:color w:val="auto"/>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rPr>
            </w:pPr>
            <w:r>
              <w:rPr>
                <w:rFonts w:hint="eastAsia" w:ascii="Times New Roman" w:hAnsi="Times New Roman" w:eastAsia="仿宋_GB2312" w:cs="Times New Roman"/>
                <w:color w:val="auto"/>
                <w:sz w:val="22"/>
                <w:highlight w:val="none"/>
                <w:lang w:val="en-US" w:eastAsia="zh-CN"/>
              </w:rPr>
              <w:t>1965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154.172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highlight w:val="none"/>
              </w:rPr>
            </w:pPr>
            <w:r>
              <w:rPr>
                <w:rFonts w:ascii="Times New Roman" w:hAnsi="Times New Roman" w:eastAsia="仿宋_GB2312" w:cs="Times New Roman"/>
                <w:color w:val="auto"/>
                <w:kern w:val="0"/>
                <w:sz w:val="22"/>
                <w:highlight w:val="none"/>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highlight w:val="none"/>
              </w:rPr>
            </w:pPr>
            <w:r>
              <w:rPr>
                <w:rFonts w:ascii="Times New Roman" w:hAnsi="Times New Roman" w:eastAsia="仿宋_GB2312" w:cs="Times New Roman"/>
                <w:color w:val="auto"/>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247.84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auto"/>
                <w:kern w:val="0"/>
                <w:sz w:val="22"/>
                <w:highlight w:val="none"/>
              </w:rPr>
            </w:pPr>
            <w:r>
              <w:rPr>
                <w:rFonts w:ascii="Times New Roman" w:hAnsi="Times New Roman" w:eastAsia="仿宋_GB2312" w:cs="Times New Roman"/>
                <w:color w:val="auto"/>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909.14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highlight w:val="none"/>
              </w:rPr>
            </w:pPr>
            <w:r>
              <w:rPr>
                <w:rFonts w:ascii="Times New Roman" w:hAnsi="Times New Roman" w:eastAsia="仿宋_GB2312" w:cs="Times New Roman"/>
                <w:color w:val="auto"/>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208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highlight w:val="none"/>
                <w:lang w:val="en-US" w:eastAsia="zh-CN"/>
              </w:rPr>
            </w:pPr>
            <w:r>
              <w:rPr>
                <w:rFonts w:hint="eastAsia" w:ascii="Times New Roman" w:hAnsi="Times New Roman" w:eastAsia="仿宋_GB2312" w:cs="Times New Roman"/>
                <w:color w:val="auto"/>
                <w:sz w:val="22"/>
                <w:highlight w:val="none"/>
                <w:lang w:val="en-US" w:eastAsia="zh-CN"/>
              </w:rPr>
              <w:t>78.875891</w:t>
            </w:r>
          </w:p>
        </w:tc>
      </w:tr>
    </w:tbl>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八、名词解释</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1、一般公共预算拨款收入：</w:t>
      </w:r>
      <w:r>
        <w:rPr>
          <w:rFonts w:ascii="Times New Roman" w:hAnsi="Times New Roman" w:eastAsia="仿宋_GB2312" w:cs="Times New Roman"/>
          <w:color w:val="auto"/>
          <w:sz w:val="32"/>
          <w:szCs w:val="32"/>
          <w:highlight w:val="none"/>
        </w:rPr>
        <w:t>指省级财政当年拨付的资金。</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2、事业收入：</w:t>
      </w:r>
      <w:r>
        <w:rPr>
          <w:rFonts w:ascii="Times New Roman" w:hAnsi="Times New Roman" w:eastAsia="仿宋_GB2312" w:cs="Times New Roman"/>
          <w:color w:val="auto"/>
          <w:sz w:val="32"/>
          <w:szCs w:val="32"/>
          <w:highlight w:val="none"/>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3、其他收入：</w:t>
      </w:r>
      <w:r>
        <w:rPr>
          <w:rFonts w:ascii="Times New Roman" w:hAnsi="Times New Roman" w:eastAsia="仿宋_GB2312" w:cs="Times New Roman"/>
          <w:color w:val="auto"/>
          <w:sz w:val="32"/>
          <w:szCs w:val="32"/>
          <w:highlight w:val="none"/>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4、基本支出：</w:t>
      </w:r>
      <w:r>
        <w:rPr>
          <w:rFonts w:ascii="Times New Roman" w:hAnsi="Times New Roman" w:eastAsia="仿宋_GB2312" w:cs="Times New Roman"/>
          <w:color w:val="auto"/>
          <w:sz w:val="32"/>
          <w:szCs w:val="32"/>
          <w:highlight w:val="none"/>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5、项目支出：</w:t>
      </w:r>
      <w:r>
        <w:rPr>
          <w:rFonts w:ascii="Times New Roman" w:hAnsi="Times New Roman" w:eastAsia="仿宋_GB2312" w:cs="Times New Roman"/>
          <w:color w:val="auto"/>
          <w:sz w:val="32"/>
          <w:szCs w:val="32"/>
          <w:highlight w:val="none"/>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6、上缴上级支出：</w:t>
      </w:r>
      <w:r>
        <w:rPr>
          <w:rFonts w:ascii="Times New Roman" w:hAnsi="Times New Roman" w:eastAsia="仿宋_GB2312" w:cs="Times New Roman"/>
          <w:color w:val="auto"/>
          <w:sz w:val="32"/>
          <w:szCs w:val="32"/>
          <w:highlight w:val="none"/>
        </w:rPr>
        <w:t>指下级单位上缴上级的支出。</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7、“三公”经费：</w:t>
      </w:r>
      <w:r>
        <w:rPr>
          <w:rFonts w:ascii="Times New Roman" w:hAnsi="Times New Roman" w:eastAsia="仿宋_GB2312" w:cs="Times New Roman"/>
          <w:color w:val="auto"/>
          <w:sz w:val="32"/>
          <w:szCs w:val="32"/>
          <w:highlight w:val="none"/>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8、机关运行费：</w:t>
      </w:r>
      <w:r>
        <w:rPr>
          <w:rFonts w:ascii="Times New Roman" w:hAnsi="Times New Roman" w:eastAsia="仿宋_GB2312" w:cs="Times New Roman"/>
          <w:color w:val="auto"/>
          <w:sz w:val="32"/>
          <w:szCs w:val="32"/>
          <w:highlight w:val="none"/>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9、上年结转：</w:t>
      </w:r>
      <w:r>
        <w:rPr>
          <w:rFonts w:ascii="Times New Roman" w:hAnsi="Times New Roman" w:eastAsia="仿宋_GB2312" w:cs="Times New Roman"/>
          <w:color w:val="auto"/>
          <w:sz w:val="32"/>
          <w:szCs w:val="32"/>
          <w:highlight w:val="none"/>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color w:val="auto"/>
          <w:sz w:val="32"/>
          <w:szCs w:val="32"/>
          <w:highlight w:val="none"/>
        </w:rPr>
        <w:t>10、事业单位经营支出：</w:t>
      </w:r>
      <w:r>
        <w:rPr>
          <w:rFonts w:ascii="Times New Roman" w:hAnsi="Times New Roman" w:eastAsia="仿宋_GB2312" w:cs="Times New Roman"/>
          <w:color w:val="auto"/>
          <w:sz w:val="32"/>
          <w:szCs w:val="32"/>
          <w:highlight w:val="none"/>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九、其他需要说明的事项</w:t>
      </w: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1C1ECC"/>
    <w:rsid w:val="002C7716"/>
    <w:rsid w:val="004A34CA"/>
    <w:rsid w:val="004A54AA"/>
    <w:rsid w:val="004F2381"/>
    <w:rsid w:val="00660AC0"/>
    <w:rsid w:val="00741520"/>
    <w:rsid w:val="00776003"/>
    <w:rsid w:val="007C03A7"/>
    <w:rsid w:val="007D234F"/>
    <w:rsid w:val="00940421"/>
    <w:rsid w:val="009C0E60"/>
    <w:rsid w:val="00A32D70"/>
    <w:rsid w:val="00AB1BD0"/>
    <w:rsid w:val="00B80935"/>
    <w:rsid w:val="00BD1ACE"/>
    <w:rsid w:val="00D347CC"/>
    <w:rsid w:val="00D77538"/>
    <w:rsid w:val="00EE67B1"/>
    <w:rsid w:val="00F85553"/>
    <w:rsid w:val="01B84BD1"/>
    <w:rsid w:val="04F40D13"/>
    <w:rsid w:val="0790243C"/>
    <w:rsid w:val="08DA0A27"/>
    <w:rsid w:val="09675C40"/>
    <w:rsid w:val="11EC15AB"/>
    <w:rsid w:val="1414448F"/>
    <w:rsid w:val="163F69D7"/>
    <w:rsid w:val="1AFE4462"/>
    <w:rsid w:val="1C3E2674"/>
    <w:rsid w:val="1E195EFD"/>
    <w:rsid w:val="20A415F2"/>
    <w:rsid w:val="23682DA0"/>
    <w:rsid w:val="239A1BD0"/>
    <w:rsid w:val="268E3A34"/>
    <w:rsid w:val="26C642F6"/>
    <w:rsid w:val="27D53B9C"/>
    <w:rsid w:val="3030375A"/>
    <w:rsid w:val="307F6EAE"/>
    <w:rsid w:val="34593888"/>
    <w:rsid w:val="34E225CF"/>
    <w:rsid w:val="3B1A239C"/>
    <w:rsid w:val="3C4F7AAF"/>
    <w:rsid w:val="40345D44"/>
    <w:rsid w:val="48A650E5"/>
    <w:rsid w:val="4C3E3E33"/>
    <w:rsid w:val="4E544BFC"/>
    <w:rsid w:val="4FDB540D"/>
    <w:rsid w:val="53773749"/>
    <w:rsid w:val="55967237"/>
    <w:rsid w:val="575C28FB"/>
    <w:rsid w:val="5BAD44B6"/>
    <w:rsid w:val="5EB05FB7"/>
    <w:rsid w:val="5FE816CB"/>
    <w:rsid w:val="61251765"/>
    <w:rsid w:val="619A1E7F"/>
    <w:rsid w:val="6A025192"/>
    <w:rsid w:val="6C250F76"/>
    <w:rsid w:val="6CB85257"/>
    <w:rsid w:val="6D4F37F1"/>
    <w:rsid w:val="6D863C79"/>
    <w:rsid w:val="733D37A2"/>
    <w:rsid w:val="758E3852"/>
    <w:rsid w:val="762E3D55"/>
    <w:rsid w:val="79E01660"/>
    <w:rsid w:val="7A347145"/>
    <w:rsid w:val="7A425E44"/>
    <w:rsid w:val="7C8F424A"/>
    <w:rsid w:val="7D56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157</TotalTime>
  <ScaleCrop>false</ScaleCrop>
  <LinksUpToDate>false</LinksUpToDate>
  <CharactersWithSpaces>2968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小蘑菇</cp:lastModifiedBy>
  <cp:lastPrinted>2021-04-07T07:31:00Z</cp:lastPrinted>
  <dcterms:modified xsi:type="dcterms:W3CDTF">2021-04-08T06:00:31Z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072815DF6A8F4674A5266BA758D546D0</vt:lpwstr>
  </property>
</Properties>
</file>